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jc w:val="center"/>
        <w:rPr>
          <w:rFonts w:ascii="Times New Roman" w:eastAsia="Times New Roman" w:hAnsi="Times New Roman" w:cs="Times New Roman"/>
          <w:b/>
          <w:bCs/>
          <w:sz w:val="24"/>
          <w:szCs w:val="24"/>
          <w:lang w:eastAsia="es-CO"/>
        </w:rPr>
      </w:pPr>
      <w:r w:rsidRPr="00FD2B65">
        <w:rPr>
          <w:rFonts w:ascii="Times New Roman" w:eastAsia="Times New Roman" w:hAnsi="Times New Roman" w:cs="Times New Roman"/>
          <w:b/>
          <w:bCs/>
          <w:sz w:val="24"/>
          <w:szCs w:val="24"/>
          <w:lang w:eastAsia="es-CO"/>
        </w:rPr>
        <w:t>OFICIO N° 015175</w:t>
      </w:r>
    </w:p>
    <w:p w:rsidR="0012253C" w:rsidRPr="00FD2B65" w:rsidRDefault="0012253C" w:rsidP="0012253C">
      <w:pPr>
        <w:shd w:val="clear" w:color="auto" w:fill="FFFFFF"/>
        <w:spacing w:after="0" w:line="240" w:lineRule="auto"/>
        <w:jc w:val="center"/>
        <w:rPr>
          <w:rFonts w:ascii="Times New Roman" w:eastAsia="Times New Roman" w:hAnsi="Times New Roman" w:cs="Times New Roman"/>
          <w:b/>
          <w:bCs/>
          <w:sz w:val="24"/>
          <w:szCs w:val="24"/>
          <w:lang w:eastAsia="es-CO"/>
        </w:rPr>
      </w:pPr>
      <w:r w:rsidRPr="00FD2B65">
        <w:rPr>
          <w:rFonts w:ascii="Times New Roman" w:eastAsia="Times New Roman" w:hAnsi="Times New Roman" w:cs="Times New Roman"/>
          <w:b/>
          <w:bCs/>
          <w:sz w:val="24"/>
          <w:szCs w:val="24"/>
          <w:lang w:eastAsia="es-CO"/>
        </w:rPr>
        <w:t>13-03-2013</w:t>
      </w:r>
    </w:p>
    <w:p w:rsidR="0012253C" w:rsidRPr="00FD2B65" w:rsidRDefault="0012253C" w:rsidP="0012253C">
      <w:pPr>
        <w:shd w:val="clear" w:color="auto" w:fill="FFFFFF"/>
        <w:spacing w:after="0" w:line="240" w:lineRule="auto"/>
        <w:jc w:val="center"/>
        <w:rPr>
          <w:rFonts w:ascii="Times New Roman" w:eastAsia="Times New Roman" w:hAnsi="Times New Roman" w:cs="Times New Roman"/>
          <w:b/>
          <w:bCs/>
          <w:sz w:val="24"/>
          <w:szCs w:val="24"/>
          <w:lang w:eastAsia="es-CO"/>
        </w:rPr>
      </w:pPr>
      <w:r w:rsidRPr="00FD2B65">
        <w:rPr>
          <w:rFonts w:ascii="Times New Roman" w:eastAsia="Times New Roman" w:hAnsi="Times New Roman" w:cs="Times New Roman"/>
          <w:b/>
          <w:bCs/>
          <w:sz w:val="24"/>
          <w:szCs w:val="24"/>
          <w:lang w:eastAsia="es-CO"/>
        </w:rPr>
        <w:t>DIAN</w:t>
      </w:r>
    </w:p>
    <w:p w:rsidR="0012253C" w:rsidRPr="00FD2B65" w:rsidRDefault="0012253C" w:rsidP="0012253C">
      <w:pPr>
        <w:shd w:val="clear" w:color="auto" w:fill="FFFFFF"/>
        <w:spacing w:after="0" w:line="240" w:lineRule="auto"/>
        <w:jc w:val="both"/>
        <w:rPr>
          <w:rFonts w:ascii="Times New Roman" w:eastAsia="Times New Roman" w:hAnsi="Times New Roman" w:cs="Times New Roman"/>
          <w:b/>
          <w:bCs/>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b/>
          <w:bCs/>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Dirección de Gestión Jurídica</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Bogotá, D.C.</w:t>
      </w:r>
    </w:p>
    <w:p w:rsidR="00FD2B65" w:rsidRDefault="00FD2B65" w:rsidP="0012253C">
      <w:pPr>
        <w:spacing w:after="0" w:line="240" w:lineRule="auto"/>
        <w:jc w:val="both"/>
        <w:rPr>
          <w:rFonts w:ascii="Times New Roman" w:eastAsia="Times New Roman" w:hAnsi="Times New Roman" w:cs="Times New Roman"/>
          <w:sz w:val="24"/>
          <w:szCs w:val="24"/>
          <w:lang w:eastAsia="es-CO"/>
        </w:rPr>
      </w:pPr>
    </w:p>
    <w:p w:rsidR="00FD2B65" w:rsidRDefault="00FD2B65" w:rsidP="0012253C">
      <w:pPr>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Señora</w:t>
      </w:r>
    </w:p>
    <w:p w:rsidR="0012253C" w:rsidRPr="00FD2B65" w:rsidRDefault="0012253C" w:rsidP="0012253C">
      <w:pPr>
        <w:spacing w:after="0" w:line="240" w:lineRule="auto"/>
        <w:jc w:val="both"/>
        <w:rPr>
          <w:rFonts w:ascii="Times New Roman" w:eastAsia="Times New Roman" w:hAnsi="Times New Roman" w:cs="Times New Roman"/>
          <w:b/>
          <w:sz w:val="24"/>
          <w:szCs w:val="24"/>
          <w:lang w:eastAsia="es-CO"/>
        </w:rPr>
      </w:pPr>
      <w:r w:rsidRPr="00FD2B65">
        <w:rPr>
          <w:rFonts w:ascii="Times New Roman" w:eastAsia="Times New Roman" w:hAnsi="Times New Roman" w:cs="Times New Roman"/>
          <w:b/>
          <w:sz w:val="24"/>
          <w:szCs w:val="24"/>
          <w:lang w:eastAsia="es-CO"/>
        </w:rPr>
        <w:t>CLAUDIA L. RUANO SALAZAR</w:t>
      </w: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PROCAL CONSTRUCCIONES S.A.S.</w:t>
      </w: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pacing w:after="0" w:line="240" w:lineRule="auto"/>
        <w:jc w:val="both"/>
        <w:rPr>
          <w:rFonts w:ascii="Times New Roman" w:eastAsia="Times New Roman" w:hAnsi="Times New Roman" w:cs="Times New Roman"/>
          <w:sz w:val="24"/>
          <w:szCs w:val="24"/>
          <w:lang w:val="es-ES_tradnl" w:eastAsia="es-CO"/>
        </w:rPr>
      </w:pPr>
    </w:p>
    <w:p w:rsidR="0012253C" w:rsidRPr="00FD2B65" w:rsidRDefault="0012253C" w:rsidP="0012253C">
      <w:pPr>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b/>
          <w:bCs/>
          <w:sz w:val="24"/>
          <w:szCs w:val="24"/>
          <w:lang w:eastAsia="es-CO"/>
        </w:rPr>
        <w:t>TEMA</w:t>
      </w:r>
      <w:r w:rsidRPr="00FD2B65">
        <w:rPr>
          <w:rFonts w:ascii="Times New Roman" w:eastAsia="Times New Roman" w:hAnsi="Times New Roman" w:cs="Times New Roman"/>
          <w:sz w:val="24"/>
          <w:szCs w:val="24"/>
          <w:lang w:val="es-ES_tradnl" w:eastAsia="es-CO"/>
        </w:rPr>
        <w:t xml:space="preserve"> Impuesto Sobre la Renta y Complementarios</w:t>
      </w:r>
    </w:p>
    <w:p w:rsidR="0012253C" w:rsidRPr="00FD2B65" w:rsidRDefault="0012253C" w:rsidP="0012253C">
      <w:pPr>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b/>
          <w:bCs/>
          <w:sz w:val="24"/>
          <w:szCs w:val="24"/>
          <w:lang w:eastAsia="es-CO"/>
        </w:rPr>
        <w:t>DESCRIPTORES</w:t>
      </w:r>
      <w:r w:rsidRPr="00FD2B65">
        <w:rPr>
          <w:rFonts w:ascii="Times New Roman" w:eastAsia="Times New Roman" w:hAnsi="Times New Roman" w:cs="Times New Roman"/>
          <w:sz w:val="24"/>
          <w:szCs w:val="24"/>
          <w:lang w:val="es-ES_tradnl" w:eastAsia="es-CO"/>
        </w:rPr>
        <w:t xml:space="preserve"> Renta Exenta</w:t>
      </w: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b/>
          <w:bCs/>
          <w:sz w:val="24"/>
          <w:szCs w:val="24"/>
          <w:lang w:eastAsia="es-CO"/>
        </w:rPr>
        <w:t>FUENTES FORMALES</w:t>
      </w:r>
      <w:r w:rsidRPr="00FD2B65">
        <w:rPr>
          <w:rFonts w:ascii="Times New Roman" w:eastAsia="Times New Roman" w:hAnsi="Times New Roman" w:cs="Times New Roman"/>
          <w:sz w:val="24"/>
          <w:szCs w:val="24"/>
          <w:lang w:val="es-ES_tradnl" w:eastAsia="es-CO"/>
        </w:rPr>
        <w:t xml:space="preserve"> Estatuto Tributario, </w:t>
      </w:r>
      <w:hyperlink r:id="rId5" w:tooltip="Estatuto Tributario CETA" w:history="1">
        <w:r w:rsidRPr="00FD2B65">
          <w:rPr>
            <w:rFonts w:ascii="Times New Roman" w:eastAsia="Times New Roman" w:hAnsi="Times New Roman" w:cs="Times New Roman"/>
            <w:sz w:val="24"/>
            <w:szCs w:val="24"/>
            <w:lang w:val="es-ES_tradnl" w:eastAsia="es-CO"/>
          </w:rPr>
          <w:t>artículo 207-2</w:t>
        </w:r>
      </w:hyperlink>
      <w:r w:rsidRPr="00FD2B65">
        <w:rPr>
          <w:rFonts w:ascii="Times New Roman" w:eastAsia="Times New Roman" w:hAnsi="Times New Roman" w:cs="Times New Roman"/>
          <w:sz w:val="24"/>
          <w:szCs w:val="24"/>
          <w:lang w:val="es-ES_tradnl" w:eastAsia="es-CO"/>
        </w:rPr>
        <w:t>. Decreto 2755 de 2003, artículos 23, 24 y 27</w:t>
      </w: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Cordial saludo Sra. Claudia.</w:t>
      </w:r>
    </w:p>
    <w:p w:rsidR="0012253C" w:rsidRPr="00FD2B65" w:rsidRDefault="0012253C" w:rsidP="0012253C">
      <w:pPr>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De conformidad con lo dispuesto en el artículo 20 del Decreto 4048 de 2008 y la Orden Administrativa 000006 del 21 de agosto de 2009, la Subdirección de Gestión Normativa y Doctrina está facultada para absolver las consultas escritas que se formulen sobre interpretación y aplicación de las normas tributarias nacionales, en materia aduanera o de comercio exterior, en lo de competencia de la DIAN, razón por la cual su consulta se absolverá en el marco de la citada competencia.</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 xml:space="preserve">Pregunta usted si la exención en renta prevista por el numeral 9 del </w:t>
      </w:r>
      <w:hyperlink r:id="rId6" w:tooltip="Estatuto Tributario CETA" w:history="1">
        <w:r w:rsidRPr="00FD2B65">
          <w:rPr>
            <w:rFonts w:ascii="Times New Roman" w:eastAsia="Times New Roman" w:hAnsi="Times New Roman" w:cs="Times New Roman"/>
            <w:sz w:val="24"/>
            <w:szCs w:val="24"/>
            <w:lang w:val="es-ES_tradnl" w:eastAsia="es-CO"/>
          </w:rPr>
          <w:t>artículo 207-2</w:t>
        </w:r>
      </w:hyperlink>
      <w:r w:rsidRPr="00FD2B65">
        <w:rPr>
          <w:rFonts w:ascii="Times New Roman" w:eastAsia="Times New Roman" w:hAnsi="Times New Roman" w:cs="Times New Roman"/>
          <w:sz w:val="24"/>
          <w:szCs w:val="24"/>
          <w:lang w:val="es-ES_tradnl" w:eastAsia="es-CO"/>
        </w:rPr>
        <w:t xml:space="preserve"> del Estatuto Tributario aplica a los miembros de un consorcio seleccionado para la ejecución de un programa de vivienda gratuita.</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Sobre el tema referente a la procedencia de la exención contemplada por la norma citada en su escrito, la doctrina de esta dependencia se ha pronunciado en reiteradas oportunidades, dentro de las cuales se citan a título de ejemplo, los oficios 023643 y 096183 de 2009, copia de los cuales adjuntamos para su inmediata referencia.</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Señala la parte pertinente del primero de los oficios citados:</w:t>
      </w: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i/>
          <w:iCs/>
          <w:sz w:val="24"/>
          <w:szCs w:val="24"/>
          <w:lang w:val="es-ES_tradnl" w:eastAsia="es-CO"/>
        </w:rPr>
      </w:pPr>
      <w:r w:rsidRPr="00FD2B65">
        <w:rPr>
          <w:rFonts w:ascii="Times New Roman" w:eastAsia="Times New Roman" w:hAnsi="Times New Roman" w:cs="Times New Roman"/>
          <w:i/>
          <w:sz w:val="24"/>
          <w:szCs w:val="24"/>
          <w:lang w:val="es-ES_tradnl" w:eastAsia="es-CO"/>
        </w:rPr>
        <w:t>"De</w:t>
      </w:r>
      <w:r w:rsidRPr="00FD2B65">
        <w:rPr>
          <w:rFonts w:ascii="Times New Roman" w:eastAsia="Times New Roman" w:hAnsi="Times New Roman" w:cs="Times New Roman"/>
          <w:sz w:val="24"/>
          <w:szCs w:val="24"/>
          <w:lang w:val="es-ES_tradnl" w:eastAsia="es-CO"/>
        </w:rPr>
        <w:t xml:space="preserve"> </w:t>
      </w:r>
      <w:r w:rsidRPr="00FD2B65">
        <w:rPr>
          <w:rFonts w:ascii="Times New Roman" w:eastAsia="Times New Roman" w:hAnsi="Times New Roman" w:cs="Times New Roman"/>
          <w:i/>
          <w:iCs/>
          <w:sz w:val="24"/>
          <w:szCs w:val="24"/>
          <w:lang w:val="es-ES_tradnl" w:eastAsia="es-CO"/>
        </w:rPr>
        <w:t xml:space="preserve">la lectura de esta norma, (numeral 9 del </w:t>
      </w:r>
      <w:hyperlink r:id="rId7" w:tooltip="Estatuto Tributario CETA" w:history="1">
        <w:r w:rsidRPr="00FD2B65">
          <w:rPr>
            <w:rFonts w:ascii="Times New Roman" w:eastAsia="Times New Roman" w:hAnsi="Times New Roman" w:cs="Times New Roman"/>
            <w:i/>
            <w:iCs/>
            <w:sz w:val="24"/>
            <w:szCs w:val="24"/>
            <w:lang w:val="es-ES_tradnl" w:eastAsia="es-CO"/>
          </w:rPr>
          <w:t>artículo 207-2</w:t>
        </w:r>
      </w:hyperlink>
      <w:r w:rsidRPr="00FD2B65">
        <w:rPr>
          <w:rFonts w:ascii="Times New Roman" w:eastAsia="Times New Roman" w:hAnsi="Times New Roman" w:cs="Times New Roman"/>
          <w:i/>
          <w:iCs/>
          <w:sz w:val="24"/>
          <w:szCs w:val="24"/>
          <w:lang w:val="es-ES_tradnl" w:eastAsia="es-CO"/>
        </w:rPr>
        <w:t xml:space="preserve"> del Estatuto Tributario), surge claramente que el beneficio consagrado, surge si la utilidad que se obtiene proviene de enajenación de un bien aportado a un patrimonio autónomo, creado única y exclusivamente para la finalidad allí consagrada, esto es, para fines de utilidad pública. (...)</w:t>
      </w: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b/>
          <w:i/>
          <w:iCs/>
          <w:sz w:val="24"/>
          <w:szCs w:val="24"/>
          <w:lang w:val="es-ES_tradnl" w:eastAsia="es-CO"/>
        </w:rPr>
      </w:pPr>
      <w:r w:rsidRPr="00FD2B65">
        <w:rPr>
          <w:rFonts w:ascii="Times New Roman" w:eastAsia="Times New Roman" w:hAnsi="Times New Roman" w:cs="Times New Roman"/>
          <w:i/>
          <w:iCs/>
          <w:sz w:val="24"/>
          <w:szCs w:val="24"/>
          <w:lang w:val="es-ES_tradnl" w:eastAsia="es-CO"/>
        </w:rPr>
        <w:lastRenderedPageBreak/>
        <w:t>"Por lo anterior, es clar</w:t>
      </w:r>
      <w:bookmarkStart w:id="0" w:name="_GoBack"/>
      <w:bookmarkEnd w:id="0"/>
      <w:r w:rsidRPr="00FD2B65">
        <w:rPr>
          <w:rFonts w:ascii="Times New Roman" w:eastAsia="Times New Roman" w:hAnsi="Times New Roman" w:cs="Times New Roman"/>
          <w:i/>
          <w:iCs/>
          <w:sz w:val="24"/>
          <w:szCs w:val="24"/>
          <w:lang w:val="es-ES_tradnl" w:eastAsia="es-CO"/>
        </w:rPr>
        <w:t xml:space="preserve">o que las utilidades obtenidas en desarrollo </w:t>
      </w:r>
      <w:proofErr w:type="spellStart"/>
      <w:r w:rsidRPr="00FD2B65">
        <w:rPr>
          <w:rFonts w:ascii="Times New Roman" w:eastAsia="Times New Roman" w:hAnsi="Times New Roman" w:cs="Times New Roman"/>
          <w:i/>
          <w:iCs/>
          <w:sz w:val="24"/>
          <w:szCs w:val="24"/>
          <w:lang w:val="es-ES_tradnl" w:eastAsia="es-CO"/>
        </w:rPr>
        <w:t>del</w:t>
      </w:r>
      <w:proofErr w:type="spellEnd"/>
      <w:r w:rsidRPr="00FD2B65">
        <w:rPr>
          <w:rFonts w:ascii="Times New Roman" w:eastAsia="Times New Roman" w:hAnsi="Times New Roman" w:cs="Times New Roman"/>
          <w:i/>
          <w:iCs/>
          <w:sz w:val="24"/>
          <w:szCs w:val="24"/>
          <w:lang w:val="es-ES_tradnl" w:eastAsia="es-CO"/>
        </w:rPr>
        <w:t xml:space="preserve"> las (sic) actividades reguladas en el </w:t>
      </w:r>
      <w:hyperlink r:id="rId8" w:tooltip="Estatuto Tributario CETA" w:history="1">
        <w:r w:rsidRPr="00FD2B65">
          <w:rPr>
            <w:rFonts w:ascii="Times New Roman" w:eastAsia="Times New Roman" w:hAnsi="Times New Roman" w:cs="Times New Roman"/>
            <w:i/>
            <w:iCs/>
            <w:sz w:val="24"/>
            <w:szCs w:val="24"/>
            <w:lang w:val="es-ES_tradnl" w:eastAsia="es-CO"/>
          </w:rPr>
          <w:t>artículo 207-2</w:t>
        </w:r>
      </w:hyperlink>
      <w:r w:rsidRPr="00FD2B65">
        <w:rPr>
          <w:rFonts w:ascii="Times New Roman" w:eastAsia="Times New Roman" w:hAnsi="Times New Roman" w:cs="Times New Roman"/>
          <w:i/>
          <w:iCs/>
          <w:sz w:val="24"/>
          <w:szCs w:val="24"/>
          <w:lang w:val="es-ES_tradnl" w:eastAsia="es-CO"/>
        </w:rPr>
        <w:t xml:space="preserve"> del Estatuto Tributario, reglamentadas por el Decreto 2755 de 2003, </w:t>
      </w:r>
      <w:r w:rsidRPr="00FD2B65">
        <w:rPr>
          <w:rFonts w:ascii="Times New Roman" w:eastAsia="Times New Roman" w:hAnsi="Times New Roman" w:cs="Times New Roman"/>
          <w:b/>
          <w:i/>
          <w:iCs/>
          <w:sz w:val="24"/>
          <w:szCs w:val="24"/>
          <w:lang w:val="es-ES_tradnl" w:eastAsia="es-CO"/>
        </w:rPr>
        <w:t>están exentas del impuesto sobre la renta en cabeza de la</w:t>
      </w:r>
      <w:r w:rsidRPr="00FD2B65">
        <w:rPr>
          <w:rFonts w:ascii="Times New Roman" w:eastAsia="Times New Roman" w:hAnsi="Times New Roman" w:cs="Times New Roman"/>
          <w:i/>
          <w:iCs/>
          <w:sz w:val="24"/>
          <w:szCs w:val="24"/>
          <w:lang w:val="es-ES_tradnl" w:eastAsia="es-CO"/>
        </w:rPr>
        <w:t xml:space="preserve"> </w:t>
      </w:r>
      <w:r w:rsidRPr="00FD2B65">
        <w:rPr>
          <w:rFonts w:ascii="Times New Roman" w:eastAsia="Times New Roman" w:hAnsi="Times New Roman" w:cs="Times New Roman"/>
          <w:b/>
          <w:i/>
          <w:iCs/>
          <w:sz w:val="24"/>
          <w:szCs w:val="24"/>
          <w:lang w:val="es-ES_tradnl" w:eastAsia="es-CO"/>
        </w:rPr>
        <w:t xml:space="preserve">sociedad fideicomitente-beneficiaria, </w:t>
      </w:r>
      <w:r w:rsidRPr="00FD2B65">
        <w:rPr>
          <w:rFonts w:ascii="Times New Roman" w:eastAsia="Times New Roman" w:hAnsi="Times New Roman" w:cs="Times New Roman"/>
          <w:b/>
          <w:i/>
          <w:sz w:val="24"/>
          <w:szCs w:val="24"/>
          <w:lang w:val="es-ES_tradnl" w:eastAsia="es-CO"/>
        </w:rPr>
        <w:t xml:space="preserve">a </w:t>
      </w:r>
      <w:r w:rsidRPr="00FD2B65">
        <w:rPr>
          <w:rFonts w:ascii="Times New Roman" w:eastAsia="Times New Roman" w:hAnsi="Times New Roman" w:cs="Times New Roman"/>
          <w:b/>
          <w:i/>
          <w:iCs/>
          <w:sz w:val="24"/>
          <w:szCs w:val="24"/>
          <w:lang w:val="es-ES_tradnl" w:eastAsia="es-CO"/>
        </w:rPr>
        <w:t>fin de no hacer nugatorio el mandato legal.</w:t>
      </w: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b/>
          <w:i/>
          <w:sz w:val="24"/>
          <w:szCs w:val="24"/>
          <w:lang w:eastAsia="es-CO"/>
        </w:rPr>
      </w:pP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i/>
          <w:iCs/>
          <w:sz w:val="24"/>
          <w:szCs w:val="24"/>
          <w:lang w:val="es-ES_tradnl" w:eastAsia="es-CO"/>
        </w:rPr>
      </w:pPr>
      <w:r w:rsidRPr="00FD2B65">
        <w:rPr>
          <w:rFonts w:ascii="Times New Roman" w:eastAsia="Times New Roman" w:hAnsi="Times New Roman" w:cs="Times New Roman"/>
          <w:i/>
          <w:iCs/>
          <w:sz w:val="24"/>
          <w:szCs w:val="24"/>
          <w:lang w:val="es-ES_tradnl" w:eastAsia="es-CO"/>
        </w:rPr>
        <w:t>(...) Es preciso tener en cuenta que la exención acorde con lo dispuesto por los artículos 23 y 27 del Decreto 2755 de 2003</w:t>
      </w:r>
      <w:r w:rsidRPr="00FD2B65">
        <w:rPr>
          <w:rFonts w:ascii="Times New Roman" w:eastAsia="Times New Roman" w:hAnsi="Times New Roman" w:cs="Times New Roman"/>
          <w:i/>
          <w:sz w:val="24"/>
          <w:szCs w:val="24"/>
          <w:lang w:val="es-ES_tradnl" w:eastAsia="es-CO"/>
        </w:rPr>
        <w:t xml:space="preserve">, </w:t>
      </w:r>
      <w:r w:rsidRPr="00FD2B65">
        <w:rPr>
          <w:rFonts w:ascii="Times New Roman" w:eastAsia="Times New Roman" w:hAnsi="Times New Roman" w:cs="Times New Roman"/>
          <w:i/>
          <w:iCs/>
          <w:sz w:val="24"/>
          <w:szCs w:val="24"/>
          <w:lang w:val="es-ES_tradnl" w:eastAsia="es-CO"/>
        </w:rPr>
        <w:t>está condicionada a la utilidad obtenida por el patrimonio autónomo en la enajenación de los predios resultantes de la ejecución de los proyectos a que se refieren los literales b) y c) del artículo 585 de la Ley 388 de 1997, por un término igual al de la ejecución del proyecto y su liquidación, sin que exceda de en ningún caso la ejecución del proyecto y su liquidación de diez (10) años. Por lo tanto, acorde con lo señalado en el punto anterior, en todo caso deben darse las condiciones de la Ley como del reglamento para la obtención del beneficio".</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Ahora bien, respecto de la naturaleza jurídica de las exenciones en material (sic) tributaria, la Honorable Corte Constitucional se ha pronunciado en varias oportunidades, entre ellas, mediante Sentencia C-1107/01 así:</w:t>
      </w: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i/>
          <w:iCs/>
          <w:sz w:val="24"/>
          <w:szCs w:val="24"/>
          <w:lang w:val="es-ES_tradnl" w:eastAsia="es-CO"/>
        </w:rPr>
      </w:pPr>
      <w:r w:rsidRPr="00FD2B65">
        <w:rPr>
          <w:rFonts w:ascii="Times New Roman" w:eastAsia="Times New Roman" w:hAnsi="Times New Roman" w:cs="Times New Roman"/>
          <w:i/>
          <w:iCs/>
          <w:sz w:val="24"/>
          <w:szCs w:val="24"/>
          <w:lang w:val="es-ES_tradnl" w:eastAsia="es-CO"/>
        </w:rPr>
        <w:t xml:space="preserve">"En este orden de ideas, a partir de la iniciativa gubernamental el Congreso puede </w:t>
      </w:r>
      <w:r w:rsidRPr="00FD2B65">
        <w:rPr>
          <w:rFonts w:ascii="Times New Roman" w:eastAsia="Times New Roman" w:hAnsi="Times New Roman" w:cs="Times New Roman"/>
          <w:b/>
          <w:bCs/>
          <w:i/>
          <w:iCs/>
          <w:sz w:val="24"/>
          <w:szCs w:val="24"/>
          <w:lang w:val="es-ES_tradnl" w:eastAsia="es-CO"/>
        </w:rPr>
        <w:t xml:space="preserve">establecer exenciones tributarias de rango nacional, las cuales se identifican por su carácter taxativo, limitativo, inequívoco, personal e intransferible, </w:t>
      </w:r>
      <w:r w:rsidRPr="00FD2B65">
        <w:rPr>
          <w:rFonts w:ascii="Times New Roman" w:eastAsia="Times New Roman" w:hAnsi="Times New Roman" w:cs="Times New Roman"/>
          <w:i/>
          <w:iCs/>
          <w:sz w:val="24"/>
          <w:szCs w:val="24"/>
          <w:lang w:val="es-ES_tradnl" w:eastAsia="es-CO"/>
        </w:rPr>
        <w:t>de suerte tal que únicamente obrarán a favor de los sujetos pasivos que se subsuman en las hipótesis previstas en la ley, sin que a éstos les sea dable transferirlas válidamente a otros sujetos pasivos bajo ningún respecto. Igualmente se observa que las exenciones corresponden a hechos generadores que en principio estarían total o parcialmente gravados, pero que por razones de política económica, fiscal, social o ambiental el órgano competente decide sustraerlos total o parcialmente de la base gravable dentro del proceso de depuración de la renta.</w:t>
      </w: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ind w:left="284"/>
        <w:jc w:val="both"/>
        <w:rPr>
          <w:rFonts w:ascii="Times New Roman" w:eastAsia="Times New Roman" w:hAnsi="Times New Roman" w:cs="Times New Roman"/>
          <w:i/>
          <w:iCs/>
          <w:sz w:val="24"/>
          <w:szCs w:val="24"/>
          <w:lang w:val="es-ES_tradnl" w:eastAsia="es-CO"/>
        </w:rPr>
      </w:pPr>
      <w:r w:rsidRPr="00FD2B65">
        <w:rPr>
          <w:rFonts w:ascii="Times New Roman" w:eastAsia="Times New Roman" w:hAnsi="Times New Roman" w:cs="Times New Roman"/>
          <w:i/>
          <w:iCs/>
          <w:sz w:val="24"/>
          <w:szCs w:val="24"/>
          <w:lang w:val="es-ES_tradnl" w:eastAsia="es-CO"/>
        </w:rPr>
        <w:t xml:space="preserve">...En fin, con arreglo al respectivo hecho económico, al tributo en particular y al destinatario concreto, la exención es una y sólo una, </w:t>
      </w:r>
      <w:r w:rsidRPr="00FD2B65">
        <w:rPr>
          <w:rFonts w:ascii="Times New Roman" w:eastAsia="Times New Roman" w:hAnsi="Times New Roman" w:cs="Times New Roman"/>
          <w:b/>
          <w:bCs/>
          <w:i/>
          <w:iCs/>
          <w:sz w:val="24"/>
          <w:szCs w:val="24"/>
          <w:lang w:val="es-ES_tradnl" w:eastAsia="es-CO"/>
        </w:rPr>
        <w:t>quedando por tanto proscrita toda forma de analogía, extensión o traslado del beneficio, salvo lo que la ley disponga en contrario</w:t>
      </w:r>
      <w:r w:rsidRPr="00FD2B65">
        <w:rPr>
          <w:rFonts w:ascii="Times New Roman" w:eastAsia="Times New Roman" w:hAnsi="Times New Roman" w:cs="Times New Roman"/>
          <w:b/>
          <w:bCs/>
          <w:i/>
          <w:iCs/>
          <w:sz w:val="24"/>
          <w:szCs w:val="24"/>
          <w:lang w:eastAsia="es-CO"/>
        </w:rPr>
        <w:t>.</w:t>
      </w:r>
      <w:r w:rsidRPr="00FD2B65">
        <w:rPr>
          <w:rFonts w:ascii="Times New Roman" w:eastAsia="Times New Roman" w:hAnsi="Times New Roman" w:cs="Times New Roman"/>
          <w:b/>
          <w:i/>
          <w:sz w:val="24"/>
          <w:szCs w:val="24"/>
          <w:lang w:val="es-ES_tradnl" w:eastAsia="es-CO"/>
        </w:rPr>
        <w:t xml:space="preserve">" </w:t>
      </w:r>
      <w:r w:rsidRPr="00FD2B65">
        <w:rPr>
          <w:rFonts w:ascii="Times New Roman" w:eastAsia="Times New Roman" w:hAnsi="Times New Roman" w:cs="Times New Roman"/>
          <w:i/>
          <w:iCs/>
          <w:sz w:val="24"/>
          <w:szCs w:val="24"/>
          <w:lang w:val="es-ES_tradnl" w:eastAsia="es-CO"/>
        </w:rPr>
        <w:t>Corte Constitucional, Sentencia C-1107/01, M.P. Jaime Araujo Rentería. (Énfasis añadido)</w:t>
      </w:r>
    </w:p>
    <w:p w:rsidR="0012253C" w:rsidRPr="00FD2B65" w:rsidRDefault="0012253C" w:rsidP="0012253C">
      <w:pPr>
        <w:shd w:val="clear" w:color="auto" w:fill="FFFFFF"/>
        <w:spacing w:after="0" w:line="240" w:lineRule="auto"/>
        <w:jc w:val="both"/>
        <w:rPr>
          <w:rFonts w:ascii="Times New Roman" w:eastAsia="Times New Roman" w:hAnsi="Times New Roman" w:cs="Times New Roman"/>
          <w:i/>
          <w:iCs/>
          <w:sz w:val="24"/>
          <w:szCs w:val="24"/>
          <w:lang w:val="es-ES_tradnl"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 xml:space="preserve">Así las cosas, la exención prevista en el numeral 9 del </w:t>
      </w:r>
      <w:hyperlink r:id="rId9" w:tooltip="Estatuto Tributario CETA" w:history="1">
        <w:r w:rsidRPr="00FD2B65">
          <w:rPr>
            <w:rFonts w:ascii="Times New Roman" w:eastAsia="Times New Roman" w:hAnsi="Times New Roman" w:cs="Times New Roman"/>
            <w:sz w:val="24"/>
            <w:szCs w:val="24"/>
            <w:lang w:val="es-ES_tradnl" w:eastAsia="es-CO"/>
          </w:rPr>
          <w:t>artículo 207-2</w:t>
        </w:r>
      </w:hyperlink>
      <w:r w:rsidRPr="00FD2B65">
        <w:rPr>
          <w:rFonts w:ascii="Times New Roman" w:eastAsia="Times New Roman" w:hAnsi="Times New Roman" w:cs="Times New Roman"/>
          <w:sz w:val="24"/>
          <w:szCs w:val="24"/>
          <w:lang w:val="es-ES_tradnl" w:eastAsia="es-CO"/>
        </w:rPr>
        <w:t xml:space="preserve"> del Estatuto Tributario aplica de manera restrictiva y específica a los conceptos y destinatarios allí señalados, sin que sea dable extender tal beneficio a sujetos, conceptos o circunstancias no establecidas de manera taxativa por la ley.</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r w:rsidRPr="00FD2B65">
        <w:rPr>
          <w:rFonts w:ascii="Times New Roman" w:eastAsia="Times New Roman" w:hAnsi="Times New Roman" w:cs="Times New Roman"/>
          <w:sz w:val="24"/>
          <w:szCs w:val="24"/>
          <w:lang w:val="es-ES_tradnl" w:eastAsia="es-CO"/>
        </w:rPr>
        <w:t>Cordialmente,</w:t>
      </w: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val="es-ES_tradnl"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p>
    <w:p w:rsidR="0012253C" w:rsidRPr="00FD2B65" w:rsidRDefault="0012253C" w:rsidP="0012253C">
      <w:pPr>
        <w:shd w:val="clear" w:color="auto" w:fill="FFFFFF"/>
        <w:spacing w:after="0"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b/>
          <w:bCs/>
          <w:sz w:val="24"/>
          <w:szCs w:val="24"/>
          <w:lang w:val="es-ES_tradnl" w:eastAsia="es-CO"/>
        </w:rPr>
        <w:t>LEONOR EUGENIA RUÍZ DE VILLALOBOS</w:t>
      </w:r>
    </w:p>
    <w:p w:rsidR="0012253C" w:rsidRDefault="0012253C" w:rsidP="0012253C">
      <w:pPr>
        <w:spacing w:after="0" w:line="240" w:lineRule="auto"/>
        <w:jc w:val="both"/>
        <w:rPr>
          <w:rFonts w:ascii="Times New Roman" w:eastAsia="Times New Roman" w:hAnsi="Times New Roman" w:cs="Times New Roman"/>
          <w:sz w:val="24"/>
          <w:szCs w:val="24"/>
          <w:lang w:val="es-ES_tradnl" w:eastAsia="es-ES"/>
        </w:rPr>
      </w:pPr>
      <w:r w:rsidRPr="00FD2B65">
        <w:rPr>
          <w:rFonts w:ascii="Times New Roman" w:eastAsia="Times New Roman" w:hAnsi="Times New Roman" w:cs="Times New Roman"/>
          <w:sz w:val="24"/>
          <w:szCs w:val="24"/>
          <w:lang w:val="es-ES_tradnl" w:eastAsia="es-ES"/>
        </w:rPr>
        <w:t>Subdirectora de Gestión Normativa y Doctrina (E)</w:t>
      </w:r>
    </w:p>
    <w:p w:rsidR="00FD2B65" w:rsidRPr="00FD2B65" w:rsidRDefault="00FD2B65" w:rsidP="0012253C">
      <w:pPr>
        <w:spacing w:after="0"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val="es-ES_tradnl" w:eastAsia="es-ES"/>
        </w:rPr>
        <w:t>________________________________________________________________________</w:t>
      </w:r>
    </w:p>
    <w:p w:rsidR="0012253C" w:rsidRPr="00FD2B65" w:rsidRDefault="0012253C" w:rsidP="0012253C">
      <w:pPr>
        <w:spacing w:after="285" w:line="240" w:lineRule="auto"/>
        <w:jc w:val="both"/>
        <w:rPr>
          <w:rFonts w:ascii="Times New Roman" w:eastAsia="Times New Roman" w:hAnsi="Times New Roman" w:cs="Times New Roman"/>
          <w:sz w:val="24"/>
          <w:szCs w:val="24"/>
          <w:lang w:eastAsia="es-CO"/>
        </w:rPr>
      </w:pPr>
      <w:r w:rsidRPr="00FD2B65">
        <w:rPr>
          <w:rFonts w:ascii="Times New Roman" w:eastAsia="Times New Roman" w:hAnsi="Times New Roman" w:cs="Times New Roman"/>
          <w:sz w:val="24"/>
          <w:szCs w:val="24"/>
          <w:lang w:eastAsia="es-CO"/>
        </w:rPr>
        <w:t> </w:t>
      </w:r>
    </w:p>
    <w:sectPr w:rsidR="0012253C" w:rsidRPr="00FD2B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3C"/>
    <w:rsid w:val="0012253C"/>
    <w:rsid w:val="0044356C"/>
    <w:rsid w:val="00FD2B6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10876" TargetMode="External"/><Relationship Id="rId3" Type="http://schemas.openxmlformats.org/officeDocument/2006/relationships/settings" Target="settings.xml"/><Relationship Id="rId7" Type="http://schemas.openxmlformats.org/officeDocument/2006/relationships/hyperlink" Target="http://www.ceta.org.co/html/vista_de_un_articulo.asp?Norma=1087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ta.org.co/html/vista_de_un_articulo.asp?Norma=10876" TargetMode="External"/><Relationship Id="rId11" Type="http://schemas.openxmlformats.org/officeDocument/2006/relationships/theme" Target="theme/theme1.xml"/><Relationship Id="rId5" Type="http://schemas.openxmlformats.org/officeDocument/2006/relationships/hyperlink" Target="http://www.ceta.org.co/html/vista_de_un_articulo.asp?Norma=1087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ta.org.co/html/vista_de_un_articulo.asp?Norma=1087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804</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2013-07-28T00:41:00Z</dcterms:created>
  <dcterms:modified xsi:type="dcterms:W3CDTF">2013-08-18T14:12:00Z</dcterms:modified>
</cp:coreProperties>
</file>